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2"/>
        <w:gridCol w:w="4918"/>
      </w:tblGrid>
      <w:tr w:rsidR="00A83E0C" w:rsidRPr="00271AA2" w:rsidTr="000D2A2B">
        <w:tc>
          <w:tcPr>
            <w:tcW w:w="3812" w:type="dxa"/>
            <w:hideMark/>
          </w:tcPr>
          <w:p w:rsidR="00A83E0C" w:rsidRPr="00A83E0C" w:rsidRDefault="00A83E0C" w:rsidP="000D2A2B">
            <w:pPr>
              <w:pStyle w:val="Vnbnnidung0"/>
              <w:spacing w:after="0"/>
              <w:ind w:firstLine="0"/>
              <w:jc w:val="center"/>
              <w:rPr>
                <w:rFonts w:ascii="Arial" w:hAnsi="Arial" w:cs="Arial"/>
                <w:iCs/>
                <w:color w:val="auto"/>
                <w:sz w:val="20"/>
                <w:szCs w:val="20"/>
              </w:rPr>
            </w:pPr>
            <w:bookmarkStart w:id="0" w:name="_GoBack"/>
            <w:r w:rsidRPr="00A83E0C">
              <w:rPr>
                <w:rFonts w:ascii="Arial" w:hAnsi="Arial" w:cs="Arial"/>
                <w:color w:val="auto"/>
                <w:sz w:val="20"/>
                <w:szCs w:val="20"/>
              </w:rPr>
              <w:t>TỔNG CỤC THƯẾ</w:t>
            </w:r>
          </w:p>
          <w:p w:rsidR="00A83E0C" w:rsidRPr="00A83E0C" w:rsidRDefault="00A83E0C" w:rsidP="000D2A2B">
            <w:pPr>
              <w:pStyle w:val="Vnbnnidung0"/>
              <w:spacing w:after="0"/>
              <w:ind w:firstLine="0"/>
              <w:jc w:val="center"/>
              <w:rPr>
                <w:rFonts w:ascii="Arial" w:hAnsi="Arial" w:cs="Arial"/>
                <w:b/>
                <w:bCs/>
                <w:color w:val="auto"/>
                <w:sz w:val="20"/>
                <w:szCs w:val="20"/>
              </w:rPr>
            </w:pPr>
            <w:r w:rsidRPr="00A83E0C">
              <w:rPr>
                <w:rFonts w:ascii="Arial" w:hAnsi="Arial" w:cs="Arial"/>
                <w:b/>
                <w:bCs/>
                <w:color w:val="auto"/>
                <w:sz w:val="20"/>
                <w:szCs w:val="20"/>
              </w:rPr>
              <w:t>CỤC THUẾ THÀNH PHÓ CÀN THƠ</w:t>
            </w:r>
          </w:p>
          <w:p w:rsidR="00A83E0C" w:rsidRDefault="00A83E0C" w:rsidP="00A83E0C">
            <w:pPr>
              <w:pStyle w:val="Vnbnnidung20"/>
              <w:tabs>
                <w:tab w:val="left" w:pos="4524"/>
              </w:tabs>
              <w:spacing w:line="259" w:lineRule="auto"/>
              <w:jc w:val="center"/>
              <w:rPr>
                <w:rFonts w:ascii="Arial" w:hAnsi="Arial" w:cs="Arial"/>
                <w:sz w:val="20"/>
                <w:szCs w:val="20"/>
              </w:rPr>
            </w:pPr>
            <w:r w:rsidRPr="00A83E0C">
              <w:rPr>
                <w:rFonts w:ascii="Arial" w:hAnsi="Arial" w:cs="Arial"/>
                <w:sz w:val="20"/>
                <w:szCs w:val="20"/>
              </w:rPr>
              <w:t>Số: 75 /CTCTH-TTHT</w:t>
            </w:r>
          </w:p>
          <w:p w:rsidR="00A83E0C" w:rsidRPr="00A83E0C" w:rsidRDefault="00A83E0C" w:rsidP="00A83E0C">
            <w:pPr>
              <w:pStyle w:val="Vnbnnidung20"/>
              <w:tabs>
                <w:tab w:val="left" w:pos="4524"/>
              </w:tabs>
              <w:spacing w:line="259" w:lineRule="auto"/>
              <w:jc w:val="center"/>
              <w:rPr>
                <w:rFonts w:ascii="Arial" w:hAnsi="Arial" w:cs="Arial"/>
                <w:sz w:val="20"/>
                <w:szCs w:val="20"/>
              </w:rPr>
            </w:pPr>
            <w:r w:rsidRPr="00A83E0C">
              <w:rPr>
                <w:rFonts w:ascii="Arial" w:hAnsi="Arial" w:cs="Arial"/>
                <w:sz w:val="20"/>
                <w:szCs w:val="20"/>
              </w:rPr>
              <w:t>V/v triển khai Nghị định số</w:t>
            </w:r>
            <w:r>
              <w:rPr>
                <w:rFonts w:ascii="Arial" w:hAnsi="Arial" w:cs="Arial"/>
                <w:sz w:val="20"/>
                <w:szCs w:val="20"/>
                <w:lang w:val="en-US"/>
              </w:rPr>
              <w:t xml:space="preserve"> </w:t>
            </w:r>
            <w:r w:rsidRPr="00A83E0C">
              <w:rPr>
                <w:rFonts w:ascii="Arial" w:hAnsi="Arial" w:cs="Arial"/>
                <w:sz w:val="20"/>
                <w:szCs w:val="20"/>
              </w:rPr>
              <w:t>180/2024/NĐ-CP ngày 31/12/2024</w:t>
            </w:r>
            <w:r>
              <w:rPr>
                <w:rFonts w:ascii="Arial" w:hAnsi="Arial" w:cs="Arial"/>
                <w:sz w:val="20"/>
                <w:szCs w:val="20"/>
                <w:lang w:val="en-US"/>
              </w:rPr>
              <w:t xml:space="preserve"> </w:t>
            </w:r>
            <w:r w:rsidRPr="00A83E0C">
              <w:rPr>
                <w:rFonts w:ascii="Arial" w:hAnsi="Arial" w:cs="Arial"/>
                <w:sz w:val="20"/>
                <w:szCs w:val="20"/>
              </w:rPr>
              <w:t>của Chính phủ quy định chính sách</w:t>
            </w:r>
            <w:r>
              <w:rPr>
                <w:rFonts w:ascii="Arial" w:hAnsi="Arial" w:cs="Arial"/>
                <w:sz w:val="20"/>
                <w:szCs w:val="20"/>
                <w:lang w:val="en-US"/>
              </w:rPr>
              <w:t xml:space="preserve"> </w:t>
            </w:r>
            <w:r w:rsidRPr="00A83E0C">
              <w:rPr>
                <w:rFonts w:ascii="Arial" w:hAnsi="Arial" w:cs="Arial"/>
                <w:sz w:val="20"/>
                <w:szCs w:val="20"/>
              </w:rPr>
              <w:t>giảm thuế GTGT</w:t>
            </w:r>
          </w:p>
        </w:tc>
        <w:tc>
          <w:tcPr>
            <w:tcW w:w="4918" w:type="dxa"/>
            <w:hideMark/>
          </w:tcPr>
          <w:p w:rsidR="00A83E0C" w:rsidRPr="00271AA2" w:rsidRDefault="00A83E0C" w:rsidP="000D2A2B">
            <w:pPr>
              <w:pStyle w:val="Vnbnnidung0"/>
              <w:ind w:right="440" w:firstLine="0"/>
              <w:jc w:val="center"/>
              <w:rPr>
                <w:rFonts w:ascii="Arial" w:hAnsi="Arial" w:cs="Arial"/>
                <w:b/>
                <w:bCs/>
                <w:sz w:val="20"/>
                <w:szCs w:val="20"/>
              </w:rPr>
            </w:pPr>
            <w:r w:rsidRPr="00271AA2">
              <w:rPr>
                <w:rFonts w:ascii="Arial" w:hAnsi="Arial" w:cs="Arial"/>
                <w:b/>
                <w:bCs/>
                <w:sz w:val="20"/>
                <w:szCs w:val="20"/>
              </w:rPr>
              <w:t>CỘNG HOÀ XÃ HỘI CHỦ NGHĨA VIỆT NAM</w:t>
            </w:r>
          </w:p>
          <w:p w:rsidR="00A83E0C" w:rsidRPr="00271AA2" w:rsidRDefault="00A83E0C" w:rsidP="000D2A2B">
            <w:pPr>
              <w:pStyle w:val="Vnbnnidung0"/>
              <w:ind w:right="440" w:firstLine="0"/>
              <w:jc w:val="center"/>
              <w:rPr>
                <w:rFonts w:ascii="Arial" w:hAnsi="Arial" w:cs="Arial"/>
                <w:b/>
                <w:bCs/>
                <w:sz w:val="20"/>
                <w:szCs w:val="20"/>
              </w:rPr>
            </w:pPr>
            <w:r w:rsidRPr="00271AA2">
              <w:rPr>
                <w:rFonts w:ascii="Arial" w:hAnsi="Arial" w:cs="Arial"/>
                <w:b/>
                <w:bCs/>
                <w:sz w:val="20"/>
                <w:szCs w:val="20"/>
              </w:rPr>
              <w:t>Độc lập - Tự do - Hạnh phúc</w:t>
            </w:r>
          </w:p>
          <w:p w:rsidR="00A83E0C" w:rsidRPr="00271AA2" w:rsidRDefault="00A83E0C" w:rsidP="00A83E0C">
            <w:pPr>
              <w:pStyle w:val="Vnbnnidung20"/>
              <w:jc w:val="right"/>
              <w:rPr>
                <w:rFonts w:ascii="Arial" w:hAnsi="Arial" w:cs="Arial"/>
                <w:i/>
                <w:sz w:val="20"/>
                <w:szCs w:val="20"/>
              </w:rPr>
            </w:pPr>
            <w:r w:rsidRPr="00271AA2">
              <w:rPr>
                <w:rFonts w:ascii="Arial" w:hAnsi="Arial" w:cs="Arial"/>
                <w:i/>
                <w:sz w:val="20"/>
                <w:szCs w:val="20"/>
                <w:lang w:val="en-US"/>
              </w:rPr>
              <w:t>Cần Thơ</w:t>
            </w:r>
            <w:r w:rsidRPr="00271AA2">
              <w:rPr>
                <w:rFonts w:ascii="Arial" w:hAnsi="Arial" w:cs="Arial"/>
                <w:i/>
                <w:sz w:val="20"/>
                <w:szCs w:val="20"/>
              </w:rPr>
              <w:t xml:space="preserve">, ngày </w:t>
            </w:r>
            <w:r w:rsidRPr="00271AA2">
              <w:rPr>
                <w:rFonts w:ascii="Arial" w:hAnsi="Arial" w:cs="Arial"/>
                <w:i/>
                <w:sz w:val="20"/>
                <w:szCs w:val="20"/>
                <w:lang w:val="en-US"/>
              </w:rPr>
              <w:t>0</w:t>
            </w:r>
            <w:r>
              <w:rPr>
                <w:rFonts w:ascii="Arial" w:hAnsi="Arial" w:cs="Arial"/>
                <w:i/>
                <w:sz w:val="20"/>
                <w:szCs w:val="20"/>
                <w:lang w:val="en-US"/>
              </w:rPr>
              <w:t>6</w:t>
            </w:r>
            <w:r w:rsidRPr="00271AA2">
              <w:rPr>
                <w:rFonts w:ascii="Arial" w:hAnsi="Arial" w:cs="Arial"/>
                <w:i/>
                <w:sz w:val="20"/>
                <w:szCs w:val="20"/>
                <w:lang w:val="en-US"/>
              </w:rPr>
              <w:t xml:space="preserve"> </w:t>
            </w:r>
            <w:r w:rsidRPr="00271AA2">
              <w:rPr>
                <w:rFonts w:ascii="Arial" w:hAnsi="Arial" w:cs="Arial"/>
                <w:i/>
                <w:sz w:val="20"/>
                <w:szCs w:val="20"/>
              </w:rPr>
              <w:t xml:space="preserve">tháng </w:t>
            </w:r>
            <w:r w:rsidRPr="00271AA2">
              <w:rPr>
                <w:rFonts w:ascii="Arial" w:hAnsi="Arial" w:cs="Arial"/>
                <w:i/>
                <w:sz w:val="20"/>
                <w:szCs w:val="20"/>
                <w:lang w:val="en-US"/>
              </w:rPr>
              <w:t>0</w:t>
            </w:r>
            <w:r w:rsidRPr="00271AA2">
              <w:rPr>
                <w:rFonts w:ascii="Arial" w:hAnsi="Arial" w:cs="Arial"/>
                <w:i/>
                <w:sz w:val="20"/>
                <w:szCs w:val="20"/>
              </w:rPr>
              <w:t>1 năm 2025</w:t>
            </w:r>
          </w:p>
        </w:tc>
      </w:tr>
    </w:tbl>
    <w:p w:rsidR="00A83E0C" w:rsidRPr="00271AA2" w:rsidRDefault="00A83E0C" w:rsidP="00A83E0C">
      <w:pPr>
        <w:pStyle w:val="Vnbnnidung0"/>
        <w:ind w:firstLine="720"/>
        <w:jc w:val="both"/>
        <w:rPr>
          <w:rFonts w:ascii="Arial" w:hAnsi="Arial" w:cs="Arial"/>
          <w:iCs/>
          <w:sz w:val="20"/>
          <w:szCs w:val="20"/>
        </w:rPr>
      </w:pPr>
    </w:p>
    <w:tbl>
      <w:tblPr>
        <w:tblStyle w:val="TableGrid"/>
        <w:tblW w:w="94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5715"/>
      </w:tblGrid>
      <w:tr w:rsidR="00A83E0C" w:rsidRPr="00271AA2" w:rsidTr="000D2A2B">
        <w:trPr>
          <w:trHeight w:val="698"/>
        </w:trPr>
        <w:tc>
          <w:tcPr>
            <w:tcW w:w="3691" w:type="dxa"/>
            <w:hideMark/>
          </w:tcPr>
          <w:p w:rsidR="00A83E0C" w:rsidRPr="00271AA2" w:rsidRDefault="00A83E0C" w:rsidP="000D2A2B">
            <w:pPr>
              <w:pStyle w:val="Vnbnnidung0"/>
              <w:ind w:right="440" w:firstLine="0"/>
              <w:jc w:val="right"/>
              <w:rPr>
                <w:rFonts w:ascii="Arial" w:hAnsi="Arial" w:cs="Arial"/>
                <w:sz w:val="20"/>
                <w:szCs w:val="20"/>
              </w:rPr>
            </w:pPr>
            <w:r w:rsidRPr="00271AA2">
              <w:rPr>
                <w:rFonts w:ascii="Arial" w:hAnsi="Arial" w:cs="Arial"/>
                <w:sz w:val="20"/>
                <w:szCs w:val="20"/>
              </w:rPr>
              <w:t>Kính gửi:</w:t>
            </w:r>
          </w:p>
        </w:tc>
        <w:tc>
          <w:tcPr>
            <w:tcW w:w="5715" w:type="dxa"/>
            <w:hideMark/>
          </w:tcPr>
          <w:p w:rsidR="00A83E0C" w:rsidRPr="00271AA2" w:rsidRDefault="00A83E0C" w:rsidP="000D2A2B">
            <w:pPr>
              <w:pStyle w:val="Vnbnnidung20"/>
              <w:rPr>
                <w:rFonts w:ascii="Arial" w:hAnsi="Arial" w:cs="Arial"/>
                <w:sz w:val="20"/>
                <w:szCs w:val="20"/>
              </w:rPr>
            </w:pPr>
            <w:r w:rsidRPr="00A83E0C">
              <w:rPr>
                <w:rFonts w:ascii="Arial" w:hAnsi="Arial" w:cs="Arial"/>
                <w:sz w:val="20"/>
                <w:szCs w:val="20"/>
              </w:rPr>
              <w:t>Các doanh nghiệp, hợp tác xã, tổ chức kinh tế, đơn vị sự nghiệp, hộ gia đình, cá nhân kinh doanh trên địa bàn thành phố Cần Thơ</w:t>
            </w:r>
          </w:p>
        </w:tc>
      </w:tr>
    </w:tbl>
    <w:p w:rsidR="00E21020" w:rsidRPr="00A83E0C" w:rsidRDefault="00EF3B6B" w:rsidP="00A83E0C">
      <w:pPr>
        <w:pStyle w:val="Vnbnnidung0"/>
        <w:spacing w:after="120"/>
        <w:ind w:firstLine="284"/>
        <w:rPr>
          <w:rFonts w:ascii="Arial" w:hAnsi="Arial" w:cs="Arial"/>
          <w:sz w:val="20"/>
          <w:szCs w:val="20"/>
        </w:rPr>
      </w:pPr>
      <w:r w:rsidRPr="00A83E0C">
        <w:rPr>
          <w:rFonts w:ascii="Arial" w:hAnsi="Arial" w:cs="Arial"/>
          <w:sz w:val="20"/>
          <w:szCs w:val="20"/>
        </w:rPr>
        <w:t>Ngày 31 tháng 12 năm 2024, Chính phủ đã ban hành Nghị định số 180/2024/NĐ-CP quy định chính sách giảm t</w:t>
      </w:r>
      <w:r w:rsidRPr="00A83E0C">
        <w:rPr>
          <w:rFonts w:ascii="Arial" w:hAnsi="Arial" w:cs="Arial"/>
          <w:sz w:val="20"/>
          <w:szCs w:val="20"/>
        </w:rPr>
        <w:t>huế giá trị gia tăng (GTGT) theo Nghị quyết số 174/2024/QH15 ngày 30/11/2024</w:t>
      </w:r>
      <w:r w:rsidRPr="00A83E0C">
        <w:rPr>
          <w:rFonts w:ascii="Arial" w:hAnsi="Arial" w:cs="Arial"/>
          <w:sz w:val="20"/>
          <w:szCs w:val="20"/>
        </w:rPr>
        <w:t xml:space="preserve"> của Quốc hội có hiệu lực từ ngày 01/01/2025 đến hết ngày 30/6/2025. Cục Thuế TP. Cần Thơ lưu ý một số nội dung chủ yếu như sau:</w:t>
      </w:r>
    </w:p>
    <w:p w:rsidR="00E21020" w:rsidRPr="00A83E0C" w:rsidRDefault="00A83E0C" w:rsidP="00A83E0C">
      <w:pPr>
        <w:pStyle w:val="Tiu10"/>
        <w:keepNext/>
        <w:keepLines/>
        <w:tabs>
          <w:tab w:val="left" w:pos="1128"/>
        </w:tabs>
        <w:spacing w:after="120"/>
        <w:ind w:firstLine="284"/>
        <w:rPr>
          <w:rFonts w:ascii="Arial" w:hAnsi="Arial" w:cs="Arial"/>
          <w:sz w:val="20"/>
          <w:szCs w:val="20"/>
        </w:rPr>
      </w:pPr>
      <w:bookmarkStart w:id="1" w:name="bookmark14"/>
      <w:bookmarkStart w:id="2" w:name="bookmark12"/>
      <w:bookmarkStart w:id="3" w:name="bookmark13"/>
      <w:bookmarkStart w:id="4" w:name="bookmark15"/>
      <w:bookmarkEnd w:id="1"/>
      <w:r>
        <w:rPr>
          <w:rFonts w:ascii="Arial" w:hAnsi="Arial" w:cs="Arial"/>
          <w:sz w:val="20"/>
          <w:szCs w:val="20"/>
          <w:lang w:val="en-US"/>
        </w:rPr>
        <w:t xml:space="preserve">1. </w:t>
      </w:r>
      <w:r w:rsidR="00EF3B6B" w:rsidRPr="00A83E0C">
        <w:rPr>
          <w:rFonts w:ascii="Arial" w:hAnsi="Arial" w:cs="Arial"/>
          <w:sz w:val="20"/>
          <w:szCs w:val="20"/>
        </w:rPr>
        <w:t>Các mặt hàng được giảm thuế:</w:t>
      </w:r>
      <w:bookmarkEnd w:id="2"/>
      <w:bookmarkEnd w:id="3"/>
      <w:bookmarkEnd w:id="4"/>
    </w:p>
    <w:p w:rsidR="00E21020" w:rsidRPr="00A83E0C" w:rsidRDefault="00A83E0C" w:rsidP="00A83E0C">
      <w:pPr>
        <w:pStyle w:val="Vnbnnidung0"/>
        <w:tabs>
          <w:tab w:val="left" w:pos="992"/>
        </w:tabs>
        <w:spacing w:after="120"/>
        <w:ind w:firstLine="284"/>
        <w:rPr>
          <w:rFonts w:ascii="Arial" w:hAnsi="Arial" w:cs="Arial"/>
          <w:sz w:val="20"/>
          <w:szCs w:val="20"/>
        </w:rPr>
      </w:pPr>
      <w:bookmarkStart w:id="5" w:name="bookmark16"/>
      <w:bookmarkEnd w:id="5"/>
      <w:r>
        <w:rPr>
          <w:rFonts w:ascii="Arial" w:hAnsi="Arial" w:cs="Arial"/>
          <w:sz w:val="20"/>
          <w:szCs w:val="20"/>
          <w:lang w:val="en-US"/>
        </w:rPr>
        <w:t xml:space="preserve">- </w:t>
      </w:r>
      <w:r w:rsidR="00EF3B6B" w:rsidRPr="00A83E0C">
        <w:rPr>
          <w:rFonts w:ascii="Arial" w:hAnsi="Arial" w:cs="Arial"/>
          <w:sz w:val="20"/>
          <w:szCs w:val="20"/>
        </w:rPr>
        <w:t>Giảm thuế GTGT đối v</w:t>
      </w:r>
      <w:r w:rsidR="00EF3B6B" w:rsidRPr="00A83E0C">
        <w:rPr>
          <w:rFonts w:ascii="Arial" w:hAnsi="Arial" w:cs="Arial"/>
          <w:sz w:val="20"/>
          <w:szCs w:val="20"/>
        </w:rPr>
        <w:t>ới các nhóm hàng hóa, dịch vụ đang áp dụng mức thuế suất 10%, trừ nhóm hàng hóa, dịch vụ quy định tại điểm a, điểm b, điểm c khoản 1 Điều 1 Nghị định số 180/2024/NĐ-CP.</w:t>
      </w:r>
    </w:p>
    <w:p w:rsidR="00E21020" w:rsidRPr="00A83E0C" w:rsidRDefault="00A83E0C" w:rsidP="00A83E0C">
      <w:pPr>
        <w:pStyle w:val="Vnbnnidung0"/>
        <w:tabs>
          <w:tab w:val="left" w:pos="992"/>
        </w:tabs>
        <w:spacing w:after="120"/>
        <w:ind w:firstLine="284"/>
        <w:rPr>
          <w:rFonts w:ascii="Arial" w:hAnsi="Arial" w:cs="Arial"/>
          <w:sz w:val="20"/>
          <w:szCs w:val="20"/>
        </w:rPr>
      </w:pPr>
      <w:bookmarkStart w:id="6" w:name="bookmark17"/>
      <w:bookmarkEnd w:id="6"/>
      <w:r>
        <w:rPr>
          <w:rFonts w:ascii="Arial" w:hAnsi="Arial" w:cs="Arial"/>
          <w:sz w:val="20"/>
          <w:szCs w:val="20"/>
          <w:lang w:val="en-US"/>
        </w:rPr>
        <w:t xml:space="preserve">- </w:t>
      </w:r>
      <w:r w:rsidR="00EF3B6B" w:rsidRPr="00A83E0C">
        <w:rPr>
          <w:rFonts w:ascii="Arial" w:hAnsi="Arial" w:cs="Arial"/>
          <w:sz w:val="20"/>
          <w:szCs w:val="20"/>
        </w:rPr>
        <w:t>Việc giảm thuế GTGT cho từng loại hàng hóa, dịch vụ được áp dụng thống nhất tại các khâ</w:t>
      </w:r>
      <w:r w:rsidR="00EF3B6B" w:rsidRPr="00A83E0C">
        <w:rPr>
          <w:rFonts w:ascii="Arial" w:hAnsi="Arial" w:cs="Arial"/>
          <w:sz w:val="20"/>
          <w:szCs w:val="20"/>
        </w:rPr>
        <w:t>u nhập khẩu, sản xuất, gia công, kinh doanh thương mại.</w:t>
      </w:r>
    </w:p>
    <w:p w:rsidR="00E21020" w:rsidRPr="00A83E0C" w:rsidRDefault="00A83E0C" w:rsidP="00A83E0C">
      <w:pPr>
        <w:pStyle w:val="Tiu10"/>
        <w:keepNext/>
        <w:keepLines/>
        <w:tabs>
          <w:tab w:val="left" w:pos="1147"/>
        </w:tabs>
        <w:spacing w:after="120"/>
        <w:ind w:firstLine="284"/>
        <w:rPr>
          <w:rFonts w:ascii="Arial" w:hAnsi="Arial" w:cs="Arial"/>
          <w:sz w:val="20"/>
          <w:szCs w:val="20"/>
        </w:rPr>
      </w:pPr>
      <w:bookmarkStart w:id="7" w:name="bookmark20"/>
      <w:bookmarkStart w:id="8" w:name="bookmark18"/>
      <w:bookmarkStart w:id="9" w:name="bookmark19"/>
      <w:bookmarkStart w:id="10" w:name="bookmark21"/>
      <w:bookmarkEnd w:id="7"/>
      <w:r>
        <w:rPr>
          <w:rFonts w:ascii="Arial" w:hAnsi="Arial" w:cs="Arial"/>
          <w:sz w:val="20"/>
          <w:szCs w:val="20"/>
          <w:lang w:val="en-US"/>
        </w:rPr>
        <w:t xml:space="preserve">2. </w:t>
      </w:r>
      <w:r w:rsidR="00EF3B6B" w:rsidRPr="00A83E0C">
        <w:rPr>
          <w:rFonts w:ascii="Arial" w:hAnsi="Arial" w:cs="Arial"/>
          <w:sz w:val="20"/>
          <w:szCs w:val="20"/>
        </w:rPr>
        <w:t>Mức giảm thuế GTGT:</w:t>
      </w:r>
      <w:bookmarkEnd w:id="8"/>
      <w:bookmarkEnd w:id="9"/>
      <w:bookmarkEnd w:id="10"/>
    </w:p>
    <w:p w:rsidR="00E21020" w:rsidRPr="00A83E0C" w:rsidRDefault="00A83E0C" w:rsidP="00A83E0C">
      <w:pPr>
        <w:pStyle w:val="Vnbnnidung0"/>
        <w:tabs>
          <w:tab w:val="left" w:pos="1002"/>
        </w:tabs>
        <w:spacing w:after="120"/>
        <w:ind w:firstLine="284"/>
        <w:rPr>
          <w:rFonts w:ascii="Arial" w:hAnsi="Arial" w:cs="Arial"/>
          <w:sz w:val="20"/>
          <w:szCs w:val="20"/>
        </w:rPr>
      </w:pPr>
      <w:bookmarkStart w:id="11" w:name="bookmark22"/>
      <w:bookmarkEnd w:id="11"/>
      <w:r>
        <w:rPr>
          <w:rFonts w:ascii="Arial" w:hAnsi="Arial" w:cs="Arial"/>
          <w:sz w:val="20"/>
          <w:szCs w:val="20"/>
          <w:lang w:val="en-US"/>
        </w:rPr>
        <w:t xml:space="preserve">- </w:t>
      </w:r>
      <w:r w:rsidR="00EF3B6B" w:rsidRPr="00A83E0C">
        <w:rPr>
          <w:rFonts w:ascii="Arial" w:hAnsi="Arial" w:cs="Arial"/>
          <w:sz w:val="20"/>
          <w:szCs w:val="20"/>
        </w:rPr>
        <w:t>Cơ sở kinh doanh tính thuế GTGT theo phương pháp khấu trừ được áp dụng mức thuế suất thuế GTGT 8% đối với hàng hóa, dịch vụ quy định tại khoản 1 Điều 1 Nghị định số 180/2024/NĐ-CP.</w:t>
      </w:r>
    </w:p>
    <w:p w:rsidR="00E21020" w:rsidRPr="00A83E0C" w:rsidRDefault="00A83E0C" w:rsidP="00A83E0C">
      <w:pPr>
        <w:pStyle w:val="Vnbnnidung0"/>
        <w:tabs>
          <w:tab w:val="left" w:pos="1002"/>
        </w:tabs>
        <w:spacing w:after="120"/>
        <w:ind w:firstLine="284"/>
        <w:rPr>
          <w:rFonts w:ascii="Arial" w:hAnsi="Arial" w:cs="Arial"/>
          <w:sz w:val="20"/>
          <w:szCs w:val="20"/>
        </w:rPr>
      </w:pPr>
      <w:bookmarkStart w:id="12" w:name="bookmark23"/>
      <w:bookmarkEnd w:id="12"/>
      <w:r>
        <w:rPr>
          <w:rFonts w:ascii="Arial" w:hAnsi="Arial" w:cs="Arial"/>
          <w:sz w:val="20"/>
          <w:szCs w:val="20"/>
          <w:lang w:val="en-US"/>
        </w:rPr>
        <w:t xml:space="preserve">- </w:t>
      </w:r>
      <w:r w:rsidR="00EF3B6B" w:rsidRPr="00A83E0C">
        <w:rPr>
          <w:rFonts w:ascii="Arial" w:hAnsi="Arial" w:cs="Arial"/>
          <w:sz w:val="20"/>
          <w:szCs w:val="20"/>
        </w:rPr>
        <w:t xml:space="preserve">Cơ sở kinh doanh (bao gồm cả hộ kinh doanh, cá nhân kinh doanh) tính thuế GTGT theo phương pháp tỷ lệ % trên doanh thu được giảm 20% mức tỷ lệ % để tính thuế GTGT khi thực hiện xuất hóa đơn đối với hàng hóa, dịch vụ được giảm thuế GTGT quy định tại khoản </w:t>
      </w:r>
      <w:r w:rsidR="00EF3B6B" w:rsidRPr="00A83E0C">
        <w:rPr>
          <w:rFonts w:ascii="Arial" w:hAnsi="Arial" w:cs="Arial"/>
          <w:sz w:val="20"/>
          <w:szCs w:val="20"/>
        </w:rPr>
        <w:t>1 Điều 1 Nghị định số 180/2024/NĐ-CP.</w:t>
      </w:r>
    </w:p>
    <w:p w:rsidR="00E21020" w:rsidRPr="00A83E0C" w:rsidRDefault="00A83E0C" w:rsidP="00A83E0C">
      <w:pPr>
        <w:pStyle w:val="Tiu10"/>
        <w:keepNext/>
        <w:keepLines/>
        <w:tabs>
          <w:tab w:val="left" w:pos="1147"/>
        </w:tabs>
        <w:spacing w:after="120"/>
        <w:ind w:firstLine="284"/>
        <w:rPr>
          <w:rFonts w:ascii="Arial" w:hAnsi="Arial" w:cs="Arial"/>
          <w:sz w:val="20"/>
          <w:szCs w:val="20"/>
        </w:rPr>
      </w:pPr>
      <w:bookmarkStart w:id="13" w:name="bookmark26"/>
      <w:bookmarkStart w:id="14" w:name="bookmark24"/>
      <w:bookmarkStart w:id="15" w:name="bookmark25"/>
      <w:bookmarkStart w:id="16" w:name="bookmark27"/>
      <w:bookmarkEnd w:id="13"/>
      <w:r>
        <w:rPr>
          <w:rFonts w:ascii="Arial" w:hAnsi="Arial" w:cs="Arial"/>
          <w:sz w:val="20"/>
          <w:szCs w:val="20"/>
          <w:lang w:val="en-US"/>
        </w:rPr>
        <w:t xml:space="preserve">3. </w:t>
      </w:r>
      <w:r w:rsidR="00EF3B6B" w:rsidRPr="00A83E0C">
        <w:rPr>
          <w:rFonts w:ascii="Arial" w:hAnsi="Arial" w:cs="Arial"/>
          <w:sz w:val="20"/>
          <w:szCs w:val="20"/>
        </w:rPr>
        <w:t>Trình tự, thủ tục thực hiện:</w:t>
      </w:r>
      <w:bookmarkEnd w:id="14"/>
      <w:bookmarkEnd w:id="15"/>
      <w:bookmarkEnd w:id="16"/>
    </w:p>
    <w:p w:rsidR="00E21020" w:rsidRPr="00A83E0C" w:rsidRDefault="00A83E0C" w:rsidP="00A83E0C">
      <w:pPr>
        <w:pStyle w:val="Vnbnnidung0"/>
        <w:tabs>
          <w:tab w:val="left" w:pos="1037"/>
        </w:tabs>
        <w:spacing w:after="120"/>
        <w:ind w:firstLine="284"/>
        <w:rPr>
          <w:rFonts w:ascii="Arial" w:hAnsi="Arial" w:cs="Arial"/>
          <w:sz w:val="20"/>
          <w:szCs w:val="20"/>
        </w:rPr>
      </w:pPr>
      <w:bookmarkStart w:id="17" w:name="bookmark28"/>
      <w:bookmarkEnd w:id="17"/>
      <w:r>
        <w:rPr>
          <w:rFonts w:ascii="Arial" w:hAnsi="Arial" w:cs="Arial"/>
          <w:sz w:val="20"/>
          <w:szCs w:val="20"/>
          <w:lang w:val="en-US"/>
        </w:rPr>
        <w:t xml:space="preserve">- </w:t>
      </w:r>
      <w:r w:rsidR="00EF3B6B" w:rsidRPr="00A83E0C">
        <w:rPr>
          <w:rFonts w:ascii="Arial" w:hAnsi="Arial" w:cs="Arial"/>
          <w:sz w:val="20"/>
          <w:szCs w:val="20"/>
        </w:rPr>
        <w:t>Đối với cơ sở kinh doanh tính thuế theo phương pháp khấu trừ:</w:t>
      </w:r>
    </w:p>
    <w:p w:rsidR="00E21020" w:rsidRPr="00A83E0C" w:rsidRDefault="00EF3B6B" w:rsidP="00A83E0C">
      <w:pPr>
        <w:pStyle w:val="Vnbnnidung0"/>
        <w:spacing w:after="120"/>
        <w:ind w:firstLine="284"/>
        <w:rPr>
          <w:rFonts w:ascii="Arial" w:hAnsi="Arial" w:cs="Arial"/>
          <w:sz w:val="20"/>
          <w:szCs w:val="20"/>
        </w:rPr>
      </w:pPr>
      <w:r w:rsidRPr="00A83E0C">
        <w:rPr>
          <w:rFonts w:ascii="Arial" w:hAnsi="Arial" w:cs="Arial"/>
          <w:sz w:val="20"/>
          <w:szCs w:val="20"/>
        </w:rPr>
        <w:t>+ Khi lập hoá đơn GTGT cung cấp hàng hóa, dịch vụ thuộc đối tượng giảm thuế GTGT, tại dòng thuế suất thuế GTGT ghi “8%”; tiền t</w:t>
      </w:r>
      <w:r w:rsidRPr="00A83E0C">
        <w:rPr>
          <w:rFonts w:ascii="Arial" w:hAnsi="Arial" w:cs="Arial"/>
          <w:sz w:val="20"/>
          <w:szCs w:val="20"/>
        </w:rPr>
        <w:t>huế GTGT; tổng số tiền người mua phải thanh toán.</w:t>
      </w:r>
    </w:p>
    <w:p w:rsidR="00E21020" w:rsidRPr="00A83E0C" w:rsidRDefault="00EF3B6B" w:rsidP="00A83E0C">
      <w:pPr>
        <w:pStyle w:val="Vnbnnidung0"/>
        <w:spacing w:after="120"/>
        <w:ind w:firstLine="284"/>
        <w:rPr>
          <w:rFonts w:ascii="Arial" w:hAnsi="Arial" w:cs="Arial"/>
          <w:sz w:val="20"/>
          <w:szCs w:val="20"/>
        </w:rPr>
      </w:pPr>
      <w:r w:rsidRPr="00A83E0C">
        <w:rPr>
          <w:rFonts w:ascii="Arial" w:hAnsi="Arial" w:cs="Arial"/>
          <w:sz w:val="20"/>
          <w:szCs w:val="20"/>
        </w:rPr>
        <w:t>+ Căn cứ hóa đơn GTGT, cơ sở kinh doanh bán hàng hóa, dịch vụ kê khai thuế GTGT đầu ra, cơ sở kinh doanh mua hàng hóa, dịch vụ kê khai khấu trừ thuế GTGT đầu vào theo số thuế đã giảm ghi trên hóa đơn GTGT.</w:t>
      </w:r>
    </w:p>
    <w:p w:rsidR="00E21020" w:rsidRPr="00A83E0C" w:rsidRDefault="00EF3B6B" w:rsidP="00A83E0C">
      <w:pPr>
        <w:pStyle w:val="Vnbnnidung0"/>
        <w:spacing w:after="120"/>
        <w:ind w:firstLine="284"/>
        <w:rPr>
          <w:rFonts w:ascii="Arial" w:hAnsi="Arial" w:cs="Arial"/>
          <w:sz w:val="20"/>
          <w:szCs w:val="20"/>
        </w:rPr>
      </w:pPr>
      <w:r w:rsidRPr="00A83E0C">
        <w:rPr>
          <w:rFonts w:ascii="Arial" w:hAnsi="Arial" w:cs="Arial"/>
          <w:sz w:val="20"/>
          <w:szCs w:val="20"/>
        </w:rPr>
        <w:t>+ Khi bán hàng hóa, cung cấp dịch vụ áp dụng các mức thuế suất khác nhau thì trên hóa đơn GTGT phải ghi rõ thuế suất của từng hàng hóa, dịch vụ theo quy định.</w:t>
      </w:r>
    </w:p>
    <w:p w:rsidR="00E21020" w:rsidRPr="00A83E0C" w:rsidRDefault="00A83E0C" w:rsidP="00A83E0C">
      <w:pPr>
        <w:pStyle w:val="Vnbnnidung0"/>
        <w:tabs>
          <w:tab w:val="left" w:pos="992"/>
        </w:tabs>
        <w:spacing w:after="120"/>
        <w:ind w:firstLine="284"/>
        <w:rPr>
          <w:rFonts w:ascii="Arial" w:hAnsi="Arial" w:cs="Arial"/>
          <w:sz w:val="20"/>
          <w:szCs w:val="20"/>
        </w:rPr>
      </w:pPr>
      <w:bookmarkStart w:id="18" w:name="bookmark29"/>
      <w:bookmarkEnd w:id="18"/>
      <w:r>
        <w:rPr>
          <w:rFonts w:ascii="Arial" w:hAnsi="Arial" w:cs="Arial"/>
          <w:sz w:val="20"/>
          <w:szCs w:val="20"/>
          <w:lang w:val="en-US"/>
        </w:rPr>
        <w:t xml:space="preserve">- </w:t>
      </w:r>
      <w:r w:rsidR="00EF3B6B" w:rsidRPr="00A83E0C">
        <w:rPr>
          <w:rFonts w:ascii="Arial" w:hAnsi="Arial" w:cs="Arial"/>
          <w:sz w:val="20"/>
          <w:szCs w:val="20"/>
        </w:rPr>
        <w:t>Đối với cơ sở kinh doanh (bao gồm cả hộ kinh doanh, cá nhân kinh doanh) tính thuế GTGT theo phươ</w:t>
      </w:r>
      <w:r w:rsidR="00EF3B6B" w:rsidRPr="00A83E0C">
        <w:rPr>
          <w:rFonts w:ascii="Arial" w:hAnsi="Arial" w:cs="Arial"/>
          <w:sz w:val="20"/>
          <w:szCs w:val="20"/>
        </w:rPr>
        <w:t>ng pháp tỷ lệ % trên doanh thu:</w:t>
      </w:r>
    </w:p>
    <w:p w:rsidR="00E21020" w:rsidRPr="00A83E0C" w:rsidRDefault="00EF3B6B" w:rsidP="00A83E0C">
      <w:pPr>
        <w:pStyle w:val="Vnbnnidung0"/>
        <w:spacing w:after="120"/>
        <w:ind w:firstLine="284"/>
        <w:rPr>
          <w:rFonts w:ascii="Arial" w:hAnsi="Arial" w:cs="Arial"/>
          <w:sz w:val="20"/>
          <w:szCs w:val="20"/>
        </w:rPr>
      </w:pPr>
      <w:r w:rsidRPr="00A83E0C">
        <w:rPr>
          <w:rFonts w:ascii="Arial" w:hAnsi="Arial" w:cs="Arial"/>
          <w:sz w:val="20"/>
          <w:szCs w:val="20"/>
        </w:rPr>
        <w:t>Khi lập hóa đơn bán hàng cung cấp hàng hóa, dịch vụ thuộc đối tượng giảm thuế GTGT, tại cột “Thành tiền” ghi đầy đủ tiền hàng hóa, dịch vụ trước khi giảm, tại dòng “Cộng tiền hàng hóa, dịch vụ” ghi theo số đã giảm 20% mức tỷ</w:t>
      </w:r>
      <w:r w:rsidRPr="00A83E0C">
        <w:rPr>
          <w:rFonts w:ascii="Arial" w:hAnsi="Arial" w:cs="Arial"/>
          <w:sz w:val="20"/>
          <w:szCs w:val="20"/>
        </w:rPr>
        <w:t xml:space="preserve"> lệ % trên doanh thu, đồng thời ghi chú: “đã giảm... (số tiền) tương ứng 20% mức tỷ lệ % để tính thuế GTGT theo Nghị quyết số 174/2024/QH15.</w:t>
      </w:r>
    </w:p>
    <w:p w:rsidR="00E21020" w:rsidRPr="00A83E0C" w:rsidRDefault="00A83E0C" w:rsidP="00A83E0C">
      <w:pPr>
        <w:pStyle w:val="Vnbnnidung0"/>
        <w:tabs>
          <w:tab w:val="left" w:pos="1006"/>
        </w:tabs>
        <w:spacing w:after="120"/>
        <w:ind w:firstLine="284"/>
        <w:rPr>
          <w:rFonts w:ascii="Arial" w:hAnsi="Arial" w:cs="Arial"/>
          <w:sz w:val="20"/>
          <w:szCs w:val="20"/>
        </w:rPr>
      </w:pPr>
      <w:bookmarkStart w:id="19" w:name="bookmark30"/>
      <w:bookmarkEnd w:id="19"/>
      <w:r>
        <w:rPr>
          <w:rFonts w:ascii="Arial" w:hAnsi="Arial" w:cs="Arial"/>
          <w:sz w:val="20"/>
          <w:szCs w:val="20"/>
          <w:lang w:val="en-US"/>
        </w:rPr>
        <w:t xml:space="preserve">- </w:t>
      </w:r>
      <w:r w:rsidR="00EF3B6B" w:rsidRPr="00A83E0C">
        <w:rPr>
          <w:rFonts w:ascii="Arial" w:hAnsi="Arial" w:cs="Arial"/>
          <w:sz w:val="20"/>
          <w:szCs w:val="20"/>
        </w:rPr>
        <w:t>Trường hợp cơ sở kinh doanh đã lập hóa đơn và đã kê khai theo mức thuế suất hoặc mức tỷ lệ % để tính thuế GTGT chưa</w:t>
      </w:r>
      <w:r w:rsidR="00EF3B6B" w:rsidRPr="00A83E0C">
        <w:rPr>
          <w:rFonts w:ascii="Arial" w:hAnsi="Arial" w:cs="Arial"/>
          <w:sz w:val="20"/>
          <w:szCs w:val="20"/>
        </w:rPr>
        <w:t xml:space="preserve"> được giảm theo quy định tại Nghị định này thì người bán và người mua xử lý hóa đơn đã lập theo quy định về hóa đơn, chứng từ. Căn cứ vào hóa đơn sau khi xử lý, người bán kê khai điều chỉnh thuế đầu ra, người mua kê khai điều chỉnh thuế đầu vào (nếu có).</w:t>
      </w:r>
    </w:p>
    <w:p w:rsidR="00E21020" w:rsidRPr="00A83E0C" w:rsidRDefault="00A83E0C" w:rsidP="00A83E0C">
      <w:pPr>
        <w:pStyle w:val="Vnbnnidung0"/>
        <w:tabs>
          <w:tab w:val="left" w:pos="1002"/>
        </w:tabs>
        <w:spacing w:after="120"/>
        <w:ind w:firstLine="284"/>
        <w:rPr>
          <w:rFonts w:ascii="Arial" w:hAnsi="Arial" w:cs="Arial"/>
          <w:sz w:val="20"/>
          <w:szCs w:val="20"/>
        </w:rPr>
      </w:pPr>
      <w:bookmarkStart w:id="20" w:name="bookmark31"/>
      <w:bookmarkEnd w:id="20"/>
      <w:r>
        <w:rPr>
          <w:rFonts w:ascii="Arial" w:hAnsi="Arial" w:cs="Arial"/>
          <w:sz w:val="20"/>
          <w:szCs w:val="20"/>
          <w:lang w:val="en-US"/>
        </w:rPr>
        <w:t xml:space="preserve">- </w:t>
      </w:r>
      <w:r w:rsidR="00EF3B6B" w:rsidRPr="00A83E0C">
        <w:rPr>
          <w:rFonts w:ascii="Arial" w:hAnsi="Arial" w:cs="Arial"/>
          <w:sz w:val="20"/>
          <w:szCs w:val="20"/>
        </w:rPr>
        <w:t>C</w:t>
      </w:r>
      <w:r w:rsidR="00EF3B6B" w:rsidRPr="00A83E0C">
        <w:rPr>
          <w:rFonts w:ascii="Arial" w:hAnsi="Arial" w:cs="Arial"/>
          <w:sz w:val="20"/>
          <w:szCs w:val="20"/>
        </w:rPr>
        <w:t>ơ sở kinh doanh thực hiện kê khai các hàng hóa, dịch vụ được giảm thuế GTGT theo Mầu số 01 tại Phụ lục IV ban hành kèm theo Nghị định số 180/2024/NĐ-CP cùng với Tờ khai thuế GTGT.</w:t>
      </w:r>
    </w:p>
    <w:p w:rsidR="00E21020" w:rsidRPr="00A83E0C" w:rsidRDefault="00A83E0C" w:rsidP="00A83E0C">
      <w:pPr>
        <w:pStyle w:val="Tiu10"/>
        <w:keepNext/>
        <w:keepLines/>
        <w:tabs>
          <w:tab w:val="left" w:pos="1142"/>
        </w:tabs>
        <w:spacing w:after="120"/>
        <w:ind w:firstLine="284"/>
        <w:rPr>
          <w:rFonts w:ascii="Arial" w:hAnsi="Arial" w:cs="Arial"/>
          <w:sz w:val="20"/>
          <w:szCs w:val="20"/>
        </w:rPr>
      </w:pPr>
      <w:bookmarkStart w:id="21" w:name="bookmark34"/>
      <w:bookmarkStart w:id="22" w:name="bookmark32"/>
      <w:bookmarkStart w:id="23" w:name="bookmark33"/>
      <w:bookmarkStart w:id="24" w:name="bookmark35"/>
      <w:bookmarkEnd w:id="21"/>
      <w:r>
        <w:rPr>
          <w:rFonts w:ascii="Arial" w:hAnsi="Arial" w:cs="Arial"/>
          <w:sz w:val="20"/>
          <w:szCs w:val="20"/>
          <w:lang w:val="en-US"/>
        </w:rPr>
        <w:t xml:space="preserve">4. </w:t>
      </w:r>
      <w:r w:rsidR="00EF3B6B" w:rsidRPr="00A83E0C">
        <w:rPr>
          <w:rFonts w:ascii="Arial" w:hAnsi="Arial" w:cs="Arial"/>
          <w:sz w:val="20"/>
          <w:szCs w:val="20"/>
        </w:rPr>
        <w:t>Hiệu lực thi hành:</w:t>
      </w:r>
      <w:bookmarkEnd w:id="22"/>
      <w:bookmarkEnd w:id="23"/>
      <w:bookmarkEnd w:id="24"/>
    </w:p>
    <w:p w:rsidR="00E21020" w:rsidRPr="00A83E0C" w:rsidRDefault="00EF3B6B" w:rsidP="00A83E0C">
      <w:pPr>
        <w:pStyle w:val="Vnbnnidung0"/>
        <w:spacing w:after="120"/>
        <w:ind w:firstLine="284"/>
        <w:rPr>
          <w:rFonts w:ascii="Arial" w:hAnsi="Arial" w:cs="Arial"/>
          <w:sz w:val="20"/>
          <w:szCs w:val="20"/>
        </w:rPr>
      </w:pPr>
      <w:r w:rsidRPr="00A83E0C">
        <w:rPr>
          <w:rFonts w:ascii="Arial" w:hAnsi="Arial" w:cs="Arial"/>
          <w:sz w:val="20"/>
          <w:szCs w:val="20"/>
        </w:rPr>
        <w:t>Nghị định này có hiệu lực thi hành từ ngày 01 tháng 01 nă</w:t>
      </w:r>
      <w:r w:rsidRPr="00A83E0C">
        <w:rPr>
          <w:rFonts w:ascii="Arial" w:hAnsi="Arial" w:cs="Arial"/>
          <w:sz w:val="20"/>
          <w:szCs w:val="20"/>
        </w:rPr>
        <w:t xml:space="preserve">m 2025 đến </w:t>
      </w:r>
      <w:r w:rsidR="00A83E0C">
        <w:rPr>
          <w:rFonts w:ascii="Arial" w:hAnsi="Arial" w:cs="Arial"/>
          <w:sz w:val="20"/>
          <w:szCs w:val="20"/>
        </w:rPr>
        <w:t>hết ngày 30 tháng 6 năm 2025./.</w:t>
      </w:r>
    </w:p>
    <w:p w:rsidR="00E21020" w:rsidRDefault="00EF3B6B" w:rsidP="00A83E0C">
      <w:pPr>
        <w:pStyle w:val="Vnbnnidung0"/>
        <w:spacing w:after="120"/>
        <w:ind w:firstLine="284"/>
        <w:rPr>
          <w:rFonts w:ascii="Arial" w:hAnsi="Arial" w:cs="Arial"/>
          <w:i/>
          <w:iCs/>
          <w:sz w:val="20"/>
          <w:szCs w:val="20"/>
          <w:u w:val="single"/>
        </w:rPr>
      </w:pPr>
      <w:r w:rsidRPr="00A83E0C">
        <w:rPr>
          <w:rFonts w:ascii="Arial" w:hAnsi="Arial" w:cs="Arial"/>
          <w:i/>
          <w:iCs/>
          <w:sz w:val="20"/>
          <w:szCs w:val="20"/>
        </w:rPr>
        <w:t xml:space="preserve">(Toàn bộ nội dung Nghị định số 180/2024/NĐ-CP ngày 31/12/2024 của Chính phủ được đăng trên trang web Cục Thuế TP. Cần Thơ: </w:t>
      </w:r>
      <w:hyperlink r:id="rId7" w:history="1">
        <w:r w:rsidRPr="00A83E0C">
          <w:rPr>
            <w:rFonts w:ascii="Arial" w:hAnsi="Arial" w:cs="Arial"/>
            <w:i/>
            <w:iCs/>
            <w:sz w:val="20"/>
            <w:szCs w:val="20"/>
            <w:u w:val="single"/>
          </w:rPr>
          <w:t>https://cantho.gdt.gov.vn</w:t>
        </w:r>
      </w:hyperlink>
      <w:r w:rsidRPr="00A83E0C">
        <w:rPr>
          <w:rFonts w:ascii="Arial" w:hAnsi="Arial" w:cs="Arial"/>
          <w:i/>
          <w:iCs/>
          <w:sz w:val="20"/>
          <w:szCs w:val="20"/>
          <w:u w:val="single"/>
        </w:rPr>
        <w:t>)</w:t>
      </w:r>
    </w:p>
    <w:tbl>
      <w:tblPr>
        <w:tblStyle w:val="TableGrid"/>
        <w:tblW w:w="998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3"/>
        <w:gridCol w:w="4140"/>
      </w:tblGrid>
      <w:tr w:rsidR="00A83E0C" w:rsidRPr="00271AA2" w:rsidTr="000D2A2B">
        <w:trPr>
          <w:trHeight w:val="2005"/>
        </w:trPr>
        <w:tc>
          <w:tcPr>
            <w:tcW w:w="5843" w:type="dxa"/>
            <w:shd w:val="clear" w:color="auto" w:fill="auto"/>
            <w:hideMark/>
          </w:tcPr>
          <w:p w:rsidR="00A83E0C" w:rsidRPr="00A83E0C" w:rsidRDefault="00A83E0C" w:rsidP="000D2A2B">
            <w:pPr>
              <w:pStyle w:val="Vnbnnidung0"/>
              <w:ind w:firstLine="0"/>
              <w:rPr>
                <w:rFonts w:ascii="Arial" w:hAnsi="Arial" w:cs="Arial"/>
                <w:color w:val="auto"/>
                <w:sz w:val="20"/>
                <w:szCs w:val="20"/>
              </w:rPr>
            </w:pPr>
            <w:r w:rsidRPr="00A83E0C">
              <w:rPr>
                <w:rFonts w:ascii="Arial" w:hAnsi="Arial" w:cs="Arial"/>
                <w:color w:val="auto"/>
                <w:sz w:val="20"/>
                <w:szCs w:val="20"/>
              </w:rPr>
              <w:lastRenderedPageBreak/>
              <w:t>Nơi nhận</w:t>
            </w:r>
          </w:p>
          <w:p w:rsidR="00A83E0C" w:rsidRPr="00A83E0C" w:rsidRDefault="00A83E0C" w:rsidP="00A83E0C">
            <w:pPr>
              <w:pStyle w:val="Vnbnnidung20"/>
              <w:tabs>
                <w:tab w:val="left" w:pos="120"/>
              </w:tabs>
              <w:jc w:val="both"/>
              <w:rPr>
                <w:rFonts w:ascii="Arial" w:hAnsi="Arial" w:cs="Arial"/>
                <w:sz w:val="20"/>
                <w:szCs w:val="20"/>
              </w:rPr>
            </w:pPr>
            <w:r w:rsidRPr="00A83E0C">
              <w:rPr>
                <w:rFonts w:ascii="Arial" w:hAnsi="Arial" w:cs="Arial"/>
                <w:sz w:val="20"/>
                <w:szCs w:val="20"/>
                <w:lang w:val="en-US"/>
              </w:rPr>
              <w:t xml:space="preserve">- </w:t>
            </w:r>
            <w:r w:rsidRPr="00A83E0C">
              <w:rPr>
                <w:rFonts w:ascii="Arial" w:hAnsi="Arial" w:cs="Arial"/>
                <w:sz w:val="20"/>
                <w:szCs w:val="20"/>
              </w:rPr>
              <w:t>Như trên qua email;</w:t>
            </w:r>
          </w:p>
          <w:p w:rsidR="00A83E0C" w:rsidRPr="00A83E0C" w:rsidRDefault="00A83E0C" w:rsidP="00A83E0C">
            <w:pPr>
              <w:pStyle w:val="Vnbnnidung20"/>
              <w:tabs>
                <w:tab w:val="left" w:pos="125"/>
              </w:tabs>
              <w:jc w:val="both"/>
              <w:rPr>
                <w:rFonts w:ascii="Arial" w:hAnsi="Arial" w:cs="Arial"/>
                <w:sz w:val="20"/>
                <w:szCs w:val="20"/>
              </w:rPr>
            </w:pPr>
            <w:r w:rsidRPr="00A83E0C">
              <w:rPr>
                <w:rFonts w:ascii="Arial" w:hAnsi="Arial" w:cs="Arial"/>
                <w:sz w:val="20"/>
                <w:szCs w:val="20"/>
                <w:lang w:val="en-US"/>
              </w:rPr>
              <w:t xml:space="preserve">- </w:t>
            </w:r>
            <w:r w:rsidRPr="00A83E0C">
              <w:rPr>
                <w:rFonts w:ascii="Arial" w:hAnsi="Arial" w:cs="Arial"/>
                <w:sz w:val="20"/>
                <w:szCs w:val="20"/>
              </w:rPr>
              <w:t>Tổng cục Thuế “để báo cáo”;</w:t>
            </w:r>
          </w:p>
          <w:p w:rsidR="00A83E0C" w:rsidRPr="00A83E0C" w:rsidRDefault="00A83E0C" w:rsidP="00A83E0C">
            <w:pPr>
              <w:pStyle w:val="Vnbnnidung20"/>
              <w:tabs>
                <w:tab w:val="left" w:pos="125"/>
              </w:tabs>
              <w:jc w:val="both"/>
              <w:rPr>
                <w:rFonts w:ascii="Arial" w:hAnsi="Arial" w:cs="Arial"/>
                <w:sz w:val="20"/>
                <w:szCs w:val="20"/>
              </w:rPr>
            </w:pPr>
            <w:r w:rsidRPr="00A83E0C">
              <w:rPr>
                <w:rFonts w:ascii="Arial" w:hAnsi="Arial" w:cs="Arial"/>
                <w:sz w:val="20"/>
                <w:szCs w:val="20"/>
                <w:lang w:val="en-US"/>
              </w:rPr>
              <w:t xml:space="preserve">- </w:t>
            </w:r>
            <w:r w:rsidRPr="00A83E0C">
              <w:rPr>
                <w:rFonts w:ascii="Arial" w:hAnsi="Arial" w:cs="Arial"/>
                <w:sz w:val="20"/>
                <w:szCs w:val="20"/>
              </w:rPr>
              <w:t>UBND thành phố “để báo cáo”;</w:t>
            </w:r>
          </w:p>
          <w:p w:rsidR="00A83E0C" w:rsidRPr="00A83E0C" w:rsidRDefault="00A83E0C" w:rsidP="00A83E0C">
            <w:pPr>
              <w:pStyle w:val="Vnbnnidung20"/>
              <w:tabs>
                <w:tab w:val="left" w:pos="125"/>
              </w:tabs>
              <w:jc w:val="both"/>
              <w:rPr>
                <w:rFonts w:ascii="Arial" w:hAnsi="Arial" w:cs="Arial"/>
                <w:sz w:val="20"/>
                <w:szCs w:val="20"/>
              </w:rPr>
            </w:pPr>
            <w:r w:rsidRPr="00A83E0C">
              <w:rPr>
                <w:rFonts w:ascii="Arial" w:hAnsi="Arial" w:cs="Arial"/>
                <w:sz w:val="20"/>
                <w:szCs w:val="20"/>
                <w:lang w:val="en-US"/>
              </w:rPr>
              <w:t xml:space="preserve">- </w:t>
            </w:r>
            <w:r w:rsidRPr="00A83E0C">
              <w:rPr>
                <w:rFonts w:ascii="Arial" w:hAnsi="Arial" w:cs="Arial"/>
                <w:sz w:val="20"/>
                <w:szCs w:val="20"/>
              </w:rPr>
              <w:t>Ban Tuyên giáo Thành ủy;</w:t>
            </w:r>
          </w:p>
          <w:p w:rsidR="00A83E0C" w:rsidRPr="00A83E0C" w:rsidRDefault="00A83E0C" w:rsidP="00A83E0C">
            <w:pPr>
              <w:pStyle w:val="Vnbnnidung20"/>
              <w:tabs>
                <w:tab w:val="left" w:pos="134"/>
              </w:tabs>
              <w:jc w:val="both"/>
              <w:rPr>
                <w:rFonts w:ascii="Arial" w:hAnsi="Arial" w:cs="Arial"/>
                <w:sz w:val="20"/>
                <w:szCs w:val="20"/>
              </w:rPr>
            </w:pPr>
            <w:r w:rsidRPr="00A83E0C">
              <w:rPr>
                <w:rFonts w:ascii="Arial" w:hAnsi="Arial" w:cs="Arial"/>
                <w:sz w:val="20"/>
                <w:szCs w:val="20"/>
                <w:lang w:val="en-US"/>
              </w:rPr>
              <w:t xml:space="preserve">- </w:t>
            </w:r>
            <w:r w:rsidRPr="00A83E0C">
              <w:rPr>
                <w:rFonts w:ascii="Arial" w:hAnsi="Arial" w:cs="Arial"/>
                <w:sz w:val="20"/>
                <w:szCs w:val="20"/>
              </w:rPr>
              <w:t>Sở, Ban ngành thành phố;</w:t>
            </w:r>
          </w:p>
          <w:p w:rsidR="00A83E0C" w:rsidRPr="00A83E0C" w:rsidRDefault="00A83E0C" w:rsidP="00A83E0C">
            <w:pPr>
              <w:pStyle w:val="Vnbnnidung20"/>
              <w:tabs>
                <w:tab w:val="left" w:pos="149"/>
              </w:tabs>
              <w:jc w:val="both"/>
              <w:rPr>
                <w:rFonts w:ascii="Arial" w:hAnsi="Arial" w:cs="Arial"/>
                <w:sz w:val="20"/>
                <w:szCs w:val="20"/>
              </w:rPr>
            </w:pPr>
            <w:r w:rsidRPr="00A83E0C">
              <w:rPr>
                <w:rFonts w:ascii="Arial" w:hAnsi="Arial" w:cs="Arial"/>
                <w:sz w:val="20"/>
                <w:szCs w:val="20"/>
                <w:lang w:val="en-US"/>
              </w:rPr>
              <w:t xml:space="preserve">- </w:t>
            </w:r>
            <w:r w:rsidRPr="00A83E0C">
              <w:rPr>
                <w:rFonts w:ascii="Arial" w:hAnsi="Arial" w:cs="Arial"/>
                <w:sz w:val="20"/>
                <w:szCs w:val="20"/>
              </w:rPr>
              <w:t>UBND quận, huyện “phối hợp tuyên truyền”;</w:t>
            </w:r>
          </w:p>
          <w:p w:rsidR="00A83E0C" w:rsidRPr="00A83E0C" w:rsidRDefault="00A83E0C" w:rsidP="00A83E0C">
            <w:pPr>
              <w:pStyle w:val="Vnbnnidung20"/>
              <w:tabs>
                <w:tab w:val="left" w:pos="163"/>
              </w:tabs>
              <w:jc w:val="both"/>
              <w:rPr>
                <w:rFonts w:ascii="Arial" w:hAnsi="Arial" w:cs="Arial"/>
                <w:sz w:val="20"/>
                <w:szCs w:val="20"/>
              </w:rPr>
            </w:pPr>
            <w:r w:rsidRPr="00A83E0C">
              <w:rPr>
                <w:rFonts w:ascii="Arial" w:hAnsi="Arial" w:cs="Arial"/>
                <w:sz w:val="20"/>
                <w:szCs w:val="20"/>
                <w:lang w:val="en-US"/>
              </w:rPr>
              <w:t xml:space="preserve">- </w:t>
            </w:r>
            <w:r w:rsidRPr="00A83E0C">
              <w:rPr>
                <w:rFonts w:ascii="Arial" w:hAnsi="Arial" w:cs="Arial"/>
                <w:sz w:val="20"/>
                <w:szCs w:val="20"/>
              </w:rPr>
              <w:t>Sở Thông tin và truyền thông “phối hợp tuyên truyền”;</w:t>
            </w:r>
          </w:p>
          <w:p w:rsidR="00A83E0C" w:rsidRPr="00A83E0C" w:rsidRDefault="00A83E0C" w:rsidP="00A83E0C">
            <w:pPr>
              <w:pStyle w:val="Vnbnnidung20"/>
              <w:tabs>
                <w:tab w:val="left" w:pos="158"/>
              </w:tabs>
              <w:jc w:val="both"/>
              <w:rPr>
                <w:rFonts w:ascii="Arial" w:hAnsi="Arial" w:cs="Arial"/>
                <w:sz w:val="20"/>
                <w:szCs w:val="20"/>
              </w:rPr>
            </w:pPr>
            <w:r w:rsidRPr="00A83E0C">
              <w:rPr>
                <w:rFonts w:ascii="Arial" w:hAnsi="Arial" w:cs="Arial"/>
                <w:sz w:val="20"/>
                <w:szCs w:val="20"/>
                <w:lang w:val="en-US"/>
              </w:rPr>
              <w:t xml:space="preserve">- </w:t>
            </w:r>
            <w:r w:rsidRPr="00A83E0C">
              <w:rPr>
                <w:rFonts w:ascii="Arial" w:hAnsi="Arial" w:cs="Arial"/>
                <w:sz w:val="20"/>
                <w:szCs w:val="20"/>
              </w:rPr>
              <w:t>Đài PTTH Cần Thơ; Báo Cần Thơ “phối hợp tuyên truyền”;</w:t>
            </w:r>
          </w:p>
          <w:p w:rsidR="00A83E0C" w:rsidRPr="00A83E0C" w:rsidRDefault="00A83E0C" w:rsidP="00A83E0C">
            <w:pPr>
              <w:pStyle w:val="Vnbnnidung20"/>
              <w:tabs>
                <w:tab w:val="left" w:pos="120"/>
              </w:tabs>
              <w:jc w:val="both"/>
              <w:rPr>
                <w:rFonts w:ascii="Arial" w:hAnsi="Arial" w:cs="Arial"/>
                <w:sz w:val="20"/>
                <w:szCs w:val="20"/>
              </w:rPr>
            </w:pPr>
            <w:r w:rsidRPr="00A83E0C">
              <w:rPr>
                <w:rFonts w:ascii="Arial" w:hAnsi="Arial" w:cs="Arial"/>
                <w:sz w:val="20"/>
                <w:szCs w:val="20"/>
                <w:lang w:val="en-US"/>
              </w:rPr>
              <w:t xml:space="preserve">- </w:t>
            </w:r>
            <w:r w:rsidRPr="00A83E0C">
              <w:rPr>
                <w:rFonts w:ascii="Arial" w:hAnsi="Arial" w:cs="Arial"/>
                <w:sz w:val="20"/>
                <w:szCs w:val="20"/>
              </w:rPr>
              <w:t>Hiệp hội doanh nghiệp TP. Cần Thơ;</w:t>
            </w:r>
          </w:p>
          <w:p w:rsidR="00A83E0C" w:rsidRPr="00A83E0C" w:rsidRDefault="00A83E0C" w:rsidP="00A83E0C">
            <w:pPr>
              <w:pStyle w:val="Vnbnnidung20"/>
              <w:tabs>
                <w:tab w:val="left" w:pos="158"/>
              </w:tabs>
              <w:jc w:val="both"/>
              <w:rPr>
                <w:rFonts w:ascii="Arial" w:hAnsi="Arial" w:cs="Arial"/>
                <w:sz w:val="20"/>
                <w:szCs w:val="20"/>
              </w:rPr>
            </w:pPr>
            <w:r w:rsidRPr="00A83E0C">
              <w:rPr>
                <w:rFonts w:ascii="Arial" w:hAnsi="Arial" w:cs="Arial"/>
                <w:sz w:val="20"/>
                <w:szCs w:val="20"/>
                <w:lang w:val="en-US"/>
              </w:rPr>
              <w:t xml:space="preserve">- </w:t>
            </w:r>
            <w:r w:rsidRPr="00A83E0C">
              <w:rPr>
                <w:rFonts w:ascii="Arial" w:hAnsi="Arial" w:cs="Arial"/>
                <w:sz w:val="20"/>
                <w:szCs w:val="20"/>
              </w:rPr>
              <w:t>Phòng TTKT1,2, các Chi cục Thuế “triển khai đến NNT thuộc đơn vị quản lý</w:t>
            </w:r>
            <w:r>
              <w:rPr>
                <w:rFonts w:ascii="Arial" w:hAnsi="Arial" w:cs="Arial"/>
                <w:sz w:val="20"/>
                <w:szCs w:val="20"/>
                <w:lang w:val="en-US"/>
              </w:rPr>
              <w:t>”</w:t>
            </w:r>
            <w:r w:rsidRPr="00A83E0C">
              <w:rPr>
                <w:rFonts w:ascii="Arial" w:hAnsi="Arial" w:cs="Arial"/>
                <w:sz w:val="20"/>
                <w:szCs w:val="20"/>
              </w:rPr>
              <w:t>;</w:t>
            </w:r>
          </w:p>
          <w:p w:rsidR="00A83E0C" w:rsidRPr="00A83E0C" w:rsidRDefault="00A83E0C" w:rsidP="00A83E0C">
            <w:pPr>
              <w:pStyle w:val="Vnbnnidung20"/>
              <w:tabs>
                <w:tab w:val="left" w:pos="125"/>
              </w:tabs>
              <w:jc w:val="both"/>
              <w:rPr>
                <w:rFonts w:ascii="Arial" w:hAnsi="Arial" w:cs="Arial"/>
                <w:sz w:val="20"/>
                <w:szCs w:val="20"/>
              </w:rPr>
            </w:pPr>
            <w:r w:rsidRPr="00A83E0C">
              <w:rPr>
                <w:rFonts w:ascii="Arial" w:hAnsi="Arial" w:cs="Arial"/>
                <w:sz w:val="20"/>
                <w:szCs w:val="20"/>
                <w:lang w:val="en-US"/>
              </w:rPr>
              <w:t xml:space="preserve">- </w:t>
            </w:r>
            <w:r w:rsidRPr="00A83E0C">
              <w:rPr>
                <w:rFonts w:ascii="Arial" w:hAnsi="Arial" w:cs="Arial"/>
                <w:sz w:val="20"/>
                <w:szCs w:val="20"/>
              </w:rPr>
              <w:t>Website Cục Thuế;</w:t>
            </w:r>
          </w:p>
          <w:p w:rsidR="00A83E0C" w:rsidRPr="00A83E0C" w:rsidRDefault="00A83E0C" w:rsidP="00A83E0C">
            <w:pPr>
              <w:pStyle w:val="Vnbnnidung40"/>
              <w:tabs>
                <w:tab w:val="left" w:pos="6879"/>
              </w:tabs>
              <w:spacing w:after="0"/>
              <w:ind w:right="0" w:firstLine="0"/>
              <w:jc w:val="both"/>
              <w:rPr>
                <w:rFonts w:ascii="Arial" w:hAnsi="Arial" w:cs="Arial"/>
                <w:b w:val="0"/>
                <w:sz w:val="20"/>
                <w:szCs w:val="20"/>
              </w:rPr>
            </w:pPr>
            <w:r w:rsidRPr="00A83E0C">
              <w:rPr>
                <w:rFonts w:ascii="Arial" w:hAnsi="Arial" w:cs="Arial"/>
                <w:b w:val="0"/>
                <w:sz w:val="20"/>
                <w:szCs w:val="20"/>
                <w:lang w:val="en-US"/>
              </w:rPr>
              <w:t xml:space="preserve">- </w:t>
            </w:r>
            <w:r w:rsidRPr="00A83E0C">
              <w:rPr>
                <w:rFonts w:ascii="Arial" w:hAnsi="Arial" w:cs="Arial"/>
                <w:b w:val="0"/>
                <w:sz w:val="20"/>
                <w:szCs w:val="20"/>
              </w:rPr>
              <w:t>Lưu: VT, TTHT.</w:t>
            </w:r>
          </w:p>
        </w:tc>
        <w:tc>
          <w:tcPr>
            <w:tcW w:w="4140" w:type="dxa"/>
            <w:shd w:val="clear" w:color="auto" w:fill="auto"/>
          </w:tcPr>
          <w:p w:rsidR="00A83E0C" w:rsidRPr="00A83E0C" w:rsidRDefault="00A83E0C" w:rsidP="000D2A2B">
            <w:pPr>
              <w:pStyle w:val="Vnbnnidung0"/>
              <w:tabs>
                <w:tab w:val="left" w:pos="4030"/>
                <w:tab w:val="left" w:leader="dot" w:pos="4198"/>
              </w:tabs>
              <w:ind w:firstLine="0"/>
              <w:jc w:val="center"/>
              <w:rPr>
                <w:rFonts w:ascii="Arial" w:hAnsi="Arial" w:cs="Arial"/>
                <w:b/>
                <w:color w:val="auto"/>
                <w:sz w:val="20"/>
                <w:szCs w:val="20"/>
              </w:rPr>
            </w:pPr>
            <w:r w:rsidRPr="00A83E0C">
              <w:rPr>
                <w:rFonts w:ascii="Arial" w:hAnsi="Arial" w:cs="Arial"/>
                <w:b/>
                <w:color w:val="auto"/>
                <w:sz w:val="20"/>
                <w:szCs w:val="20"/>
                <w:lang w:val="en-US"/>
              </w:rPr>
              <w:t xml:space="preserve">KT. </w:t>
            </w:r>
            <w:r w:rsidRPr="00A83E0C">
              <w:rPr>
                <w:rFonts w:ascii="Arial" w:hAnsi="Arial" w:cs="Arial"/>
                <w:b/>
                <w:color w:val="auto"/>
                <w:sz w:val="20"/>
                <w:szCs w:val="20"/>
              </w:rPr>
              <w:t>CỤC TRƯỞNG</w:t>
            </w:r>
          </w:p>
          <w:p w:rsidR="00A83E0C" w:rsidRPr="00A83E0C" w:rsidRDefault="00A83E0C" w:rsidP="000D2A2B">
            <w:pPr>
              <w:pStyle w:val="Vnbnnidung0"/>
              <w:tabs>
                <w:tab w:val="left" w:pos="4030"/>
                <w:tab w:val="left" w:leader="dot" w:pos="4198"/>
              </w:tabs>
              <w:ind w:firstLine="0"/>
              <w:jc w:val="center"/>
              <w:rPr>
                <w:rFonts w:ascii="Arial" w:hAnsi="Arial" w:cs="Arial"/>
                <w:b/>
                <w:color w:val="auto"/>
                <w:sz w:val="20"/>
                <w:szCs w:val="20"/>
                <w:lang w:val="en-US"/>
              </w:rPr>
            </w:pPr>
            <w:r w:rsidRPr="00A83E0C">
              <w:rPr>
                <w:rFonts w:ascii="Arial" w:hAnsi="Arial" w:cs="Arial"/>
                <w:b/>
                <w:color w:val="auto"/>
                <w:sz w:val="20"/>
                <w:szCs w:val="20"/>
                <w:lang w:val="en-US"/>
              </w:rPr>
              <w:t>PHÓ CỤC TRƯỞNG</w:t>
            </w:r>
          </w:p>
          <w:p w:rsidR="00A83E0C" w:rsidRPr="00A83E0C" w:rsidRDefault="00A83E0C" w:rsidP="000D2A2B">
            <w:pPr>
              <w:pStyle w:val="Vnbnnidung0"/>
              <w:tabs>
                <w:tab w:val="left" w:pos="4030"/>
                <w:tab w:val="left" w:leader="dot" w:pos="4198"/>
              </w:tabs>
              <w:ind w:firstLine="0"/>
              <w:jc w:val="center"/>
              <w:rPr>
                <w:rFonts w:ascii="Arial" w:hAnsi="Arial" w:cs="Arial"/>
                <w:b/>
                <w:color w:val="auto"/>
                <w:sz w:val="20"/>
                <w:szCs w:val="20"/>
                <w:lang w:val="en-US"/>
              </w:rPr>
            </w:pPr>
          </w:p>
          <w:p w:rsidR="00A83E0C" w:rsidRPr="00A83E0C" w:rsidRDefault="00A83E0C" w:rsidP="000D2A2B">
            <w:pPr>
              <w:pStyle w:val="Vnbnnidung0"/>
              <w:tabs>
                <w:tab w:val="left" w:pos="4030"/>
                <w:tab w:val="left" w:leader="dot" w:pos="4198"/>
              </w:tabs>
              <w:ind w:firstLine="0"/>
              <w:jc w:val="center"/>
              <w:rPr>
                <w:rFonts w:ascii="Arial" w:hAnsi="Arial" w:cs="Arial"/>
                <w:b/>
                <w:color w:val="auto"/>
                <w:sz w:val="20"/>
                <w:szCs w:val="20"/>
                <w:lang w:val="en-US"/>
              </w:rPr>
            </w:pPr>
          </w:p>
          <w:p w:rsidR="00A83E0C" w:rsidRPr="00A83E0C" w:rsidRDefault="00A83E0C" w:rsidP="000D2A2B">
            <w:pPr>
              <w:pStyle w:val="Vnbnnidung0"/>
              <w:tabs>
                <w:tab w:val="left" w:pos="4030"/>
                <w:tab w:val="left" w:leader="dot" w:pos="4198"/>
              </w:tabs>
              <w:ind w:firstLine="0"/>
              <w:jc w:val="center"/>
              <w:rPr>
                <w:rFonts w:ascii="Arial" w:hAnsi="Arial" w:cs="Arial"/>
                <w:b/>
                <w:color w:val="auto"/>
                <w:sz w:val="20"/>
                <w:szCs w:val="20"/>
                <w:lang w:val="en-US"/>
              </w:rPr>
            </w:pPr>
          </w:p>
          <w:p w:rsidR="00A83E0C" w:rsidRPr="00271AA2" w:rsidRDefault="00A83E0C" w:rsidP="000D2A2B">
            <w:pPr>
              <w:pStyle w:val="Vnbnnidung0"/>
              <w:tabs>
                <w:tab w:val="left" w:pos="4030"/>
                <w:tab w:val="left" w:leader="dot" w:pos="4198"/>
              </w:tabs>
              <w:ind w:firstLine="0"/>
              <w:jc w:val="center"/>
              <w:rPr>
                <w:rFonts w:ascii="Arial" w:hAnsi="Arial" w:cs="Arial"/>
                <w:b/>
                <w:i/>
                <w:color w:val="auto"/>
                <w:sz w:val="20"/>
                <w:szCs w:val="20"/>
                <w:lang w:val="en-US"/>
              </w:rPr>
            </w:pPr>
            <w:r w:rsidRPr="00A83E0C">
              <w:rPr>
                <w:rFonts w:ascii="Arial" w:hAnsi="Arial" w:cs="Arial"/>
                <w:b/>
                <w:color w:val="auto"/>
                <w:sz w:val="20"/>
                <w:szCs w:val="20"/>
                <w:lang w:val="en-US"/>
              </w:rPr>
              <w:t>Huỳnh Tấn Phát</w:t>
            </w:r>
          </w:p>
        </w:tc>
      </w:tr>
      <w:bookmarkEnd w:id="0"/>
    </w:tbl>
    <w:p w:rsidR="00A83E0C" w:rsidRPr="00A83E0C" w:rsidRDefault="00A83E0C" w:rsidP="00A83E0C">
      <w:pPr>
        <w:pStyle w:val="Vnbnnidung20"/>
        <w:tabs>
          <w:tab w:val="left" w:pos="125"/>
        </w:tabs>
        <w:jc w:val="both"/>
        <w:rPr>
          <w:rFonts w:ascii="Arial" w:hAnsi="Arial" w:cs="Arial"/>
          <w:sz w:val="20"/>
          <w:szCs w:val="20"/>
        </w:rPr>
      </w:pPr>
    </w:p>
    <w:sectPr w:rsidR="00A83E0C" w:rsidRPr="00A83E0C">
      <w:headerReference w:type="even" r:id="rId8"/>
      <w:headerReference w:type="default" r:id="rId9"/>
      <w:pgSz w:w="11900" w:h="16840"/>
      <w:pgMar w:top="1335" w:right="344" w:bottom="1225" w:left="1639"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B6B" w:rsidRDefault="00EF3B6B">
      <w:r>
        <w:separator/>
      </w:r>
    </w:p>
  </w:endnote>
  <w:endnote w:type="continuationSeparator" w:id="0">
    <w:p w:rsidR="00EF3B6B" w:rsidRDefault="00EF3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B6B" w:rsidRDefault="00EF3B6B"/>
  </w:footnote>
  <w:footnote w:type="continuationSeparator" w:id="0">
    <w:p w:rsidR="00EF3B6B" w:rsidRDefault="00EF3B6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020" w:rsidRDefault="00EF3B6B">
    <w:pPr>
      <w:spacing w:line="1" w:lineRule="exact"/>
    </w:pPr>
    <w:r>
      <w:rPr>
        <w:noProof/>
        <w:lang w:val="en-US" w:eastAsia="en-US" w:bidi="ar-SA"/>
      </w:rPr>
      <mc:AlternateContent>
        <mc:Choice Requires="wps">
          <w:drawing>
            <wp:anchor distT="0" distB="0" distL="0" distR="0" simplePos="0" relativeHeight="62914691" behindDoc="1" locked="0" layoutInCell="1" allowOverlap="1">
              <wp:simplePos x="0" y="0"/>
              <wp:positionH relativeFrom="page">
                <wp:posOffset>3921125</wp:posOffset>
              </wp:positionH>
              <wp:positionV relativeFrom="page">
                <wp:posOffset>558165</wp:posOffset>
              </wp:positionV>
              <wp:extent cx="67310" cy="100330"/>
              <wp:effectExtent l="0" t="0" r="0" b="0"/>
              <wp:wrapNone/>
              <wp:docPr id="11" name="Shape 11"/>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rsidR="00E21020" w:rsidRDefault="00EF3B6B">
                          <w:pPr>
                            <w:pStyle w:val="utranghocchntrang20"/>
                            <w:rPr>
                              <w:sz w:val="24"/>
                              <w:szCs w:val="24"/>
                            </w:rPr>
                          </w:pPr>
                          <w:r>
                            <w:rPr>
                              <w:sz w:val="24"/>
                              <w:szCs w:val="24"/>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26" type="#_x0000_t202" style="position:absolute;margin-left:308.75pt;margin-top:43.95pt;width:5.3pt;height:7.9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" filled="f" stroked="f">
              <v:textbox style="mso-fit-shape-to-text:t" inset="0,0,0,0">
                <w:txbxContent>
                  <w:p w:rsidR="00E21020" w:rsidRDefault="00EF3B6B">
                    <w:pPr>
                      <w:pStyle w:val="utranghocchntrang20"/>
                      <w:rPr>
                        <w:sz w:val="24"/>
                        <w:szCs w:val="24"/>
                      </w:rPr>
                    </w:pPr>
                    <w:r>
                      <w:rPr>
                        <w:sz w:val="24"/>
                        <w:szCs w:val="24"/>
                      </w:rP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020" w:rsidRDefault="00E21020">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7759"/>
    <w:multiLevelType w:val="multilevel"/>
    <w:tmpl w:val="EA2C19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427A54"/>
    <w:multiLevelType w:val="multilevel"/>
    <w:tmpl w:val="7D4063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0FC4887"/>
    <w:multiLevelType w:val="multilevel"/>
    <w:tmpl w:val="35CC3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020"/>
    <w:rsid w:val="00A83E0C"/>
    <w:rsid w:val="00E21020"/>
    <w:rsid w:val="00EF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1F649"/>
  <w15:docId w15:val="{47EAD85C-1CF0-4A95-ABF8-52C10162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paragraph" w:customStyle="1" w:styleId="Vnbnnidung0">
    <w:name w:val="Văn bản nội dung"/>
    <w:basedOn w:val="Normal"/>
    <w:link w:val="Vnbnnidung"/>
    <w:pPr>
      <w:spacing w:after="80"/>
      <w:ind w:firstLine="400"/>
    </w:pPr>
    <w:rPr>
      <w:rFonts w:ascii="Times New Roman" w:eastAsia="Times New Roman" w:hAnsi="Times New Roman" w:cs="Times New Roman"/>
      <w:sz w:val="28"/>
      <w:szCs w:val="28"/>
    </w:rPr>
  </w:style>
  <w:style w:type="paragraph" w:customStyle="1" w:styleId="Tiu10">
    <w:name w:val="Tiêu đề #1"/>
    <w:basedOn w:val="Normal"/>
    <w:link w:val="Tiu1"/>
    <w:pPr>
      <w:spacing w:after="80"/>
      <w:ind w:firstLine="760"/>
      <w:outlineLvl w:val="0"/>
    </w:pPr>
    <w:rPr>
      <w:rFonts w:ascii="Times New Roman" w:eastAsia="Times New Roman" w:hAnsi="Times New Roman" w:cs="Times New Roman"/>
      <w:b/>
      <w:bCs/>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character" w:customStyle="1" w:styleId="Vnbnnidung4">
    <w:name w:val="Văn bản nội dung (4)_"/>
    <w:basedOn w:val="DefaultParagraphFont"/>
    <w:link w:val="Vnbnnidung40"/>
    <w:rsid w:val="00A83E0C"/>
    <w:rPr>
      <w:rFonts w:ascii="Times New Roman" w:eastAsia="Times New Roman" w:hAnsi="Times New Roman" w:cs="Times New Roman"/>
      <w:b/>
      <w:bCs/>
      <w:sz w:val="26"/>
      <w:szCs w:val="26"/>
    </w:rPr>
  </w:style>
  <w:style w:type="paragraph" w:customStyle="1" w:styleId="Vnbnnidung40">
    <w:name w:val="Văn bản nội dung (4)"/>
    <w:basedOn w:val="Normal"/>
    <w:link w:val="Vnbnnidung4"/>
    <w:rsid w:val="00A83E0C"/>
    <w:pPr>
      <w:spacing w:after="40"/>
      <w:ind w:right="550" w:firstLine="70"/>
    </w:pPr>
    <w:rPr>
      <w:rFonts w:ascii="Times New Roman" w:eastAsia="Times New Roman" w:hAnsi="Times New Roman" w:cs="Times New Roman"/>
      <w:b/>
      <w:bCs/>
      <w:color w:val="auto"/>
      <w:sz w:val="26"/>
      <w:szCs w:val="26"/>
    </w:rPr>
  </w:style>
  <w:style w:type="table" w:styleId="TableGrid">
    <w:name w:val="Table Grid"/>
    <w:basedOn w:val="TableNormal"/>
    <w:uiPriority w:val="39"/>
    <w:rsid w:val="00A83E0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ntho.gdt.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610</Words>
  <Characters>3479</Characters>
  <Application>Microsoft Office Word</Application>
  <DocSecurity>0</DocSecurity>
  <Lines>28</Lines>
  <Paragraphs>8</Paragraphs>
  <ScaleCrop>false</ScaleCrop>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subject/>
  <dc:creator>dqhoa</dc:creator>
  <cp:keywords/>
  <cp:lastModifiedBy>Admin</cp:lastModifiedBy>
  <cp:revision>2</cp:revision>
  <dcterms:created xsi:type="dcterms:W3CDTF">2025-01-08T09:26:00Z</dcterms:created>
  <dcterms:modified xsi:type="dcterms:W3CDTF">2025-01-08T09:32:00Z</dcterms:modified>
</cp:coreProperties>
</file>